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00"/>
      </w:tblGrid>
      <w:tr w:rsidR="00A71AA1" w:rsidRPr="00D54349" w:rsidTr="00D54349">
        <w:trPr>
          <w:tblCellSpacing w:w="0" w:type="dxa"/>
        </w:trPr>
        <w:tc>
          <w:tcPr>
            <w:tcW w:w="11700" w:type="dxa"/>
            <w:vAlign w:val="bottom"/>
            <w:hideMark/>
          </w:tcPr>
          <w:tbl>
            <w:tblPr>
              <w:tblW w:w="0" w:type="auto"/>
              <w:tblCellSpacing w:w="7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440"/>
              <w:gridCol w:w="161"/>
            </w:tblGrid>
            <w:tr w:rsidR="00A71AA1" w:rsidRPr="00D54349" w:rsidTr="00D54349">
              <w:trPr>
                <w:gridAfter w:val="1"/>
                <w:wAfter w:w="126" w:type="dxa"/>
                <w:tblCellSpacing w:w="7" w:type="dxa"/>
              </w:trPr>
              <w:tc>
                <w:tcPr>
                  <w:tcW w:w="10419" w:type="dxa"/>
                  <w:shd w:val="clear" w:color="auto" w:fill="F1F1F1"/>
                  <w:vAlign w:val="center"/>
                  <w:hideMark/>
                </w:tcPr>
                <w:p w:rsidR="00895AAE" w:rsidRPr="00D54349" w:rsidRDefault="00A71AA1" w:rsidP="00895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  <w:r w:rsidRPr="00D54349">
                    <w:rPr>
                      <w:rFonts w:ascii="Times New Roman" w:eastAsia="Times New Roman" w:hAnsi="Times New Roman" w:cs="Times New Roman"/>
                      <w:b/>
                      <w:bCs/>
                      <w:color w:val="900000"/>
                      <w:sz w:val="24"/>
                      <w:szCs w:val="24"/>
                      <w:lang w:val="tr-TR"/>
                    </w:rPr>
                    <w:t xml:space="preserve">MAN </w:t>
                  </w:r>
                  <w:r w:rsidR="00B1572A" w:rsidRPr="00D54349">
                    <w:rPr>
                      <w:rFonts w:ascii="Times New Roman" w:eastAsia="Times New Roman" w:hAnsi="Times New Roman" w:cs="Times New Roman"/>
                      <w:b/>
                      <w:bCs/>
                      <w:color w:val="900000"/>
                      <w:sz w:val="24"/>
                      <w:szCs w:val="24"/>
                      <w:lang w:val="tr-TR"/>
                    </w:rPr>
                    <w:t xml:space="preserve">690 </w:t>
                  </w:r>
                  <w:r w:rsidR="00895AAE" w:rsidRPr="00D54349">
                    <w:rPr>
                      <w:rFonts w:ascii="Times New Roman" w:eastAsia="Times New Roman" w:hAnsi="Times New Roman" w:cs="Times New Roman"/>
                      <w:b/>
                      <w:bCs/>
                      <w:color w:val="900000"/>
                      <w:sz w:val="24"/>
                      <w:szCs w:val="24"/>
                      <w:lang w:val="tr-TR"/>
                    </w:rPr>
                    <w:t>FİNANSAL KURUMLAR VE</w:t>
                  </w:r>
                  <w:r w:rsidR="00C65F2C" w:rsidRPr="00D54349">
                    <w:rPr>
                      <w:rFonts w:ascii="Times New Roman" w:eastAsia="Times New Roman" w:hAnsi="Times New Roman" w:cs="Times New Roman"/>
                      <w:b/>
                      <w:bCs/>
                      <w:color w:val="900000"/>
                      <w:sz w:val="24"/>
                      <w:szCs w:val="24"/>
                      <w:lang w:val="tr-TR"/>
                    </w:rPr>
                    <w:t xml:space="preserve"> PİYASALAR</w:t>
                  </w:r>
                  <w:r w:rsidR="00895AAE" w:rsidRPr="00D543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 xml:space="preserve"> </w:t>
                  </w:r>
                </w:p>
                <w:p w:rsidR="00895AAE" w:rsidRPr="00D54349" w:rsidRDefault="00895AAE" w:rsidP="00895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</w:p>
                <w:p w:rsidR="00895AAE" w:rsidRPr="00D54349" w:rsidRDefault="00895AAE" w:rsidP="00895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  <w:r w:rsidRPr="00D543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 xml:space="preserve">Ders Sorumlusu: Dr. </w:t>
                  </w:r>
                  <w:proofErr w:type="spellStart"/>
                  <w:r w:rsidRPr="00D543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Göknur</w:t>
                  </w:r>
                  <w:proofErr w:type="spellEnd"/>
                  <w:r w:rsidRPr="00D543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="00936C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Büyükkara</w:t>
                  </w:r>
                  <w:proofErr w:type="spellEnd"/>
                </w:p>
                <w:p w:rsidR="00895AAE" w:rsidRPr="00D54349" w:rsidRDefault="00895AAE" w:rsidP="00895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  <w:r w:rsidRPr="00D543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 xml:space="preserve">Adres: Hacettepe Üniversitesi, İİBF, İşletme Bölümü, </w:t>
                  </w:r>
                  <w:proofErr w:type="spellStart"/>
                  <w:r w:rsidRPr="00D543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Beytepe</w:t>
                  </w:r>
                  <w:proofErr w:type="spellEnd"/>
                  <w:r w:rsidRPr="00D543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, Çankaya, Ankara, 06800</w:t>
                  </w:r>
                </w:p>
                <w:p w:rsidR="00895AAE" w:rsidRPr="00D54349" w:rsidRDefault="00895AAE" w:rsidP="00895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  <w:r w:rsidRPr="00D543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 xml:space="preserve">e-mail: </w:t>
                  </w:r>
                  <w:hyperlink r:id="rId6" w:history="1">
                    <w:r w:rsidRPr="00D54349">
                      <w:rPr>
                        <w:rStyle w:val="Kpr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tr-TR"/>
                      </w:rPr>
                      <w:t>goknur@hacettepe.edu.tr</w:t>
                    </w:r>
                  </w:hyperlink>
                </w:p>
                <w:p w:rsidR="00A71AA1" w:rsidRPr="00D54349" w:rsidRDefault="00895AAE" w:rsidP="00D60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  <w:r w:rsidRPr="00D543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 xml:space="preserve">Tel: 2992064/152  </w:t>
                  </w:r>
                </w:p>
              </w:tc>
            </w:tr>
            <w:tr w:rsidR="00A71AA1" w:rsidRPr="00D54349" w:rsidTr="00D54349">
              <w:trPr>
                <w:gridAfter w:val="1"/>
                <w:wAfter w:w="126" w:type="dxa"/>
                <w:tblCellSpacing w:w="7" w:type="dxa"/>
              </w:trPr>
              <w:tc>
                <w:tcPr>
                  <w:tcW w:w="10419" w:type="dxa"/>
                  <w:vAlign w:val="center"/>
                  <w:hideMark/>
                </w:tcPr>
                <w:p w:rsidR="00A71AA1" w:rsidRPr="00D54349" w:rsidRDefault="00A71AA1" w:rsidP="00A71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895AAE" w:rsidRPr="00D54349" w:rsidTr="00D54349">
              <w:trPr>
                <w:tblCellSpacing w:w="7" w:type="dxa"/>
              </w:trPr>
              <w:tc>
                <w:tcPr>
                  <w:tcW w:w="10419" w:type="dxa"/>
                  <w:shd w:val="clear" w:color="auto" w:fill="F1F1F1"/>
                  <w:hideMark/>
                </w:tcPr>
                <w:p w:rsidR="00816228" w:rsidRPr="00D54349" w:rsidRDefault="00895AAE" w:rsidP="00895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00000"/>
                      <w:sz w:val="24"/>
                      <w:szCs w:val="24"/>
                      <w:lang w:val="tr-TR"/>
                    </w:rPr>
                  </w:pPr>
                  <w:r w:rsidRPr="00D54349">
                    <w:rPr>
                      <w:rFonts w:ascii="Times New Roman" w:eastAsia="Times New Roman" w:hAnsi="Times New Roman" w:cs="Times New Roman"/>
                      <w:b/>
                      <w:bCs/>
                      <w:color w:val="900000"/>
                      <w:sz w:val="24"/>
                      <w:szCs w:val="24"/>
                      <w:lang w:val="tr-TR"/>
                    </w:rPr>
                    <w:t>Dersin Konusu</w:t>
                  </w:r>
                  <w:r w:rsidR="00816228" w:rsidRPr="00D54349">
                    <w:rPr>
                      <w:rFonts w:ascii="Times New Roman" w:eastAsia="Times New Roman" w:hAnsi="Times New Roman" w:cs="Times New Roman"/>
                      <w:b/>
                      <w:bCs/>
                      <w:color w:val="900000"/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126" w:type="dxa"/>
                  <w:shd w:val="clear" w:color="auto" w:fill="F1F1F1"/>
                  <w:vAlign w:val="center"/>
                  <w:hideMark/>
                </w:tcPr>
                <w:p w:rsidR="00895AAE" w:rsidRPr="00D54349" w:rsidRDefault="00895AAE" w:rsidP="00FC3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895AAE" w:rsidRPr="00D54349" w:rsidTr="00D54349">
              <w:trPr>
                <w:trHeight w:val="2683"/>
                <w:tblCellSpacing w:w="7" w:type="dxa"/>
              </w:trPr>
              <w:tc>
                <w:tcPr>
                  <w:tcW w:w="10419" w:type="dxa"/>
                  <w:vAlign w:val="center"/>
                  <w:hideMark/>
                </w:tcPr>
                <w:p w:rsidR="00895AAE" w:rsidRPr="00D54349" w:rsidRDefault="00CE74D0" w:rsidP="00D543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Bu derste </w:t>
                  </w:r>
                  <w:r w:rsidR="00CF0D5A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yerel ve uluslar</w:t>
                  </w:r>
                  <w:r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arası finansal kurumlar ve piyasalar </w:t>
                  </w:r>
                  <w:r w:rsidR="007C741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ekonomik ve teorik boyutlarıyla incelen</w:t>
                  </w:r>
                  <w:r w:rsidR="006F1E3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mektedir.</w:t>
                  </w:r>
                  <w:r w:rsidR="007C741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</w:t>
                  </w:r>
                  <w:r w:rsidR="00FB05F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Ders kapsamında </w:t>
                  </w:r>
                  <w:r w:rsidR="006F1E3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finansal kurumların işlevleri, </w:t>
                  </w:r>
                  <w:r w:rsidR="00FB05F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modern bankacılık</w:t>
                  </w:r>
                  <w:r w:rsidR="00B3621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, sigortacılık</w:t>
                  </w:r>
                  <w:r w:rsidR="00FB05F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</w:t>
                  </w:r>
                  <w:r w:rsidR="00B3621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ve </w:t>
                  </w:r>
                  <w:r w:rsidR="00396A1B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yatırım kurumları</w:t>
                  </w:r>
                  <w:r w:rsidR="00FB05F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</w:t>
                  </w:r>
                  <w:r w:rsidR="006F1E3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ile bu </w:t>
                  </w:r>
                  <w:r w:rsidR="00BA253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kurumlar</w:t>
                  </w:r>
                  <w:r w:rsidR="00CF0D5A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ın sağladığı hizmetler ve özellikle </w:t>
                  </w:r>
                  <w:r w:rsidR="00BA253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kullanılan yeni ürünler ve araçlara değinilecektir. </w:t>
                  </w:r>
                  <w:r w:rsidR="00B3621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Firmalar ve kişilerin</w:t>
                  </w:r>
                  <w:r w:rsidR="00C711C8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,</w:t>
                  </w:r>
                  <w:r w:rsidR="00B3621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b</w:t>
                  </w:r>
                  <w:r w:rsidR="005B19F7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ankacılık </w:t>
                  </w:r>
                  <w:r w:rsidR="00B3621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ve para piyasası </w:t>
                  </w:r>
                  <w:r w:rsidR="005B19F7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faaliyetleri</w:t>
                  </w:r>
                  <w:r w:rsidR="00B3621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ile finansman sağlaması günümüz </w:t>
                  </w:r>
                  <w:r w:rsidR="00C711C8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finans </w:t>
                  </w:r>
                  <w:r w:rsidR="00B3621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dünyasında artık </w:t>
                  </w:r>
                  <w:r w:rsidR="00C711C8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yeterli değildir ve firmal</w:t>
                  </w:r>
                  <w:r w:rsidR="000B7657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ar sermaye piyasalarına açılarak </w:t>
                  </w:r>
                  <w:r w:rsidR="00472B2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farklı </w:t>
                  </w:r>
                  <w:r w:rsidR="005B19F7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borsalarda işlem görme</w:t>
                  </w:r>
                  <w:r w:rsidR="00C711C8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k istemektedir. Bu nedenle</w:t>
                  </w:r>
                  <w:r w:rsidR="005B19F7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</w:t>
                  </w:r>
                  <w:r w:rsidR="00B3621F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menkul kıymet ve vadeli işlemler borsaları</w:t>
                  </w:r>
                  <w:r w:rsidR="00396A1B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nın sistem içerisinde sağladığı </w:t>
                  </w:r>
                  <w:r w:rsidR="00472B2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kazanımlara da ders içeriğinde geniş olarak </w:t>
                  </w:r>
                  <w:r w:rsidR="00396A1B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yer verilmiştir. Piyasaların serbestleşmesi ve finansal araçların</w:t>
                  </w:r>
                  <w:r w:rsidR="00472B2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karmaşıklaşması,</w:t>
                  </w:r>
                  <w:r w:rsidR="00396A1B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finansal sistemin maruz kaldığı riskleri hem azaltmakta hem de artırmaktadır. Pazar riski, faiz oranı riski, likidite riski vs. gibi sistematik risklerin finansal kurumlara etkileri ve </w:t>
                  </w:r>
                  <w:r w:rsidR="00472B2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bu </w:t>
                  </w:r>
                  <w:r w:rsidR="00396A1B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risklerin ölçülmesi için kurulan temel </w:t>
                  </w:r>
                  <w:proofErr w:type="spellStart"/>
                  <w:r w:rsidR="00396A1B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ekonometrik</w:t>
                  </w:r>
                  <w:proofErr w:type="spellEnd"/>
                  <w:r w:rsidR="00396A1B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modeller</w:t>
                  </w:r>
                  <w:r w:rsidR="00D712BA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de </w:t>
                  </w:r>
                  <w:r w:rsidR="00472B2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ayrıca </w:t>
                  </w:r>
                  <w:r w:rsidR="003525D5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ders içerisinde </w:t>
                  </w:r>
                  <w:r w:rsidR="00D712BA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ortaya konacak ve finansal kurumların </w:t>
                  </w:r>
                  <w:r w:rsidR="00472B2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piyasa</w:t>
                  </w:r>
                  <w:r w:rsidR="008652AE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lar</w:t>
                  </w:r>
                  <w:r w:rsidR="00472B20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daki dalgalanmalar</w:t>
                  </w:r>
                  <w:r w:rsidR="00D712BA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karşısında </w:t>
                  </w:r>
                  <w:r w:rsidR="00400889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neler yapması</w:t>
                  </w:r>
                  <w:r w:rsidR="00D712BA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 gerek</w:t>
                  </w:r>
                  <w:r w:rsidR="00400889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tiği </w:t>
                  </w:r>
                  <w:r w:rsidR="008652AE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 xml:space="preserve">öğrenciler ile birlikte </w:t>
                  </w:r>
                  <w:r w:rsidR="00400889" w:rsidRPr="00D54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tartışılacaktır.</w:t>
                  </w:r>
                </w:p>
                <w:p w:rsidR="00816228" w:rsidRPr="00D54349" w:rsidRDefault="00816228" w:rsidP="004008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895AAE" w:rsidRPr="00D54349" w:rsidRDefault="00895AAE" w:rsidP="00FC3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C81C99" w:rsidRPr="00D54349" w:rsidTr="00D54349">
              <w:trPr>
                <w:trHeight w:val="3628"/>
                <w:tblCellSpacing w:w="7" w:type="dxa"/>
              </w:trPr>
              <w:tc>
                <w:tcPr>
                  <w:tcW w:w="10419" w:type="dxa"/>
                  <w:vAlign w:val="center"/>
                  <w:hideMark/>
                </w:tcPr>
                <w:tbl>
                  <w:tblPr>
                    <w:tblpPr w:leftFromText="180" w:rightFromText="180" w:vertAnchor="text" w:horzAnchor="margin" w:tblpY="-342"/>
                    <w:tblOverlap w:val="never"/>
                    <w:tblW w:w="9989" w:type="dxa"/>
                    <w:tblCellSpacing w:w="7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744"/>
                    <w:gridCol w:w="8245"/>
                  </w:tblGrid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4986" w:type="pct"/>
                        <w:gridSpan w:val="2"/>
                        <w:shd w:val="clear" w:color="auto" w:fill="F1F1F1"/>
                        <w:vAlign w:val="center"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Haftalık Plan: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Hafta-1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71387D">
                        <w:pPr>
                          <w:spacing w:after="0" w:line="240" w:lineRule="auto"/>
                          <w:ind w:right="8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Giriş</w:t>
                        </w:r>
                      </w:p>
                      <w:p w:rsidR="00C81C99" w:rsidRPr="00D54349" w:rsidRDefault="00C81C99" w:rsidP="00400889">
                        <w:pPr>
                          <w:spacing w:after="0" w:line="240" w:lineRule="auto"/>
                          <w:ind w:right="8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Finansal varlıklar ve piyasaların sınıflandırılması, finansal piyasaların rolü,  piyasa katılımcıları, global trendler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Hafta-2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7138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Finansal Kurumlar, Finansal Aracılar ve Varlıklar</w:t>
                        </w:r>
                      </w:p>
                      <w:p w:rsidR="00C81C99" w:rsidRPr="00D54349" w:rsidRDefault="00C81C99" w:rsidP="00132F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Finansal kurumların tanıtılması, finansal aracılık işlemleri, varlık/borç yöne</w:t>
                        </w:r>
                        <w:r w:rsidR="004C53CF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timi, mevcut yasal düzenlemeler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-3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0767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Mevduat Kurumları</w:t>
                        </w:r>
                      </w:p>
                      <w:p w:rsidR="00C81C99" w:rsidRPr="00D54349" w:rsidRDefault="00C81C99" w:rsidP="009B3B4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Ticari bankacılık, yatırım kurumları ve kredi birlikleri. Mevduat kabul eden kurumların yapı, büyüklük, performans, yeni düzenlemeler vb. faktörler açısından incelenmesi, </w:t>
                        </w:r>
                      </w:p>
                      <w:p w:rsidR="00C81C99" w:rsidRPr="00D54349" w:rsidRDefault="00C81C99" w:rsidP="009B3B4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Türk Bankacılık Sistemi 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-4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Merkez Bankaları ve Para Politikası </w:t>
                        </w:r>
                      </w:p>
                      <w:p w:rsidR="00C81C99" w:rsidRPr="00D54349" w:rsidRDefault="00C81C99" w:rsidP="008D62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Merkez bankalarının amacı, kullanılan para politikası araçları ve para otoriterliğinin tartışılması</w:t>
                        </w:r>
                      </w:p>
                      <w:p w:rsidR="00C81C99" w:rsidRPr="00D54349" w:rsidRDefault="00C81C99" w:rsidP="008D62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Fed, TCMB ve diğer ülke merkez bankalarının incelenmesi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-5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Sigorta Şirketleri</w:t>
                        </w:r>
                      </w:p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Sigortacılık sistemi, sigorta şirketlerinin türleri ve ürünleri, prim hesaplamaları</w:t>
                        </w:r>
                        <w:r w:rsidR="004C53CF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, SGK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-6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Yatırım Şirketleri</w:t>
                        </w:r>
                      </w:p>
                      <w:p w:rsidR="00C81C99" w:rsidRPr="00D54349" w:rsidRDefault="00C81C99" w:rsidP="00C51B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Yatırım ve kalkınma bankacılığı, yatırım fonları,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hedge</w:t>
                        </w:r>
                        <w:proofErr w:type="spellEnd"/>
                        <w:r w:rsidR="00407594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fonlar ve bireysel 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emeklilik 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lastRenderedPageBreak/>
                          <w:t>fonlarını yönetimi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lastRenderedPageBreak/>
                          <w:t>Hafta -7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Birincil Piyasalar</w:t>
                        </w:r>
                      </w:p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Halka arz süreci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-8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İkincil Piyasalar</w:t>
                        </w:r>
                      </w:p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Menkul kıymet </w:t>
                        </w:r>
                        <w:r w:rsidR="00E64A11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ve mal 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borsaların</w:t>
                        </w:r>
                        <w:r w:rsidR="00E64A11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ın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özellikleri, yapıları ve hisse senedi piyasasında etkinlik problemi</w:t>
                        </w:r>
                      </w:p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IMKB ve diğer büyük </w:t>
                        </w:r>
                        <w:r w:rsidR="00407594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dünya 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borsaların</w:t>
                        </w:r>
                        <w:r w:rsidR="00407594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ın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incelenmesi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-9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Türev Araçlar Piyasası</w:t>
                        </w:r>
                      </w:p>
                      <w:p w:rsidR="00C81C99" w:rsidRPr="00D54349" w:rsidRDefault="00C81C99" w:rsidP="00E87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Vadeli işlemler ve opsiyon borsaları,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futures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forward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, opsiyon, swap vb. araçların tanıtılması ve matematiksel değerlenme</w:t>
                        </w:r>
                        <w:r w:rsidR="00E873C9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süreci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-10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971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Varlık Fiyatlama Modelleri ve Faiz Oranlarının Belirlenmesi</w:t>
                        </w:r>
                      </w:p>
                      <w:p w:rsidR="00C81C99" w:rsidRPr="00D54349" w:rsidRDefault="00C81C99" w:rsidP="00A72F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Finansal varlıkların özellikleri </w:t>
                        </w:r>
                        <w:r w:rsidR="00E873C9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ve fiyatlama mekanizmaları, vade yapısı,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risk-getiri modelleri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-11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557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Finansal kurumların karşılaştığı riskler: Faiz oranı riski, kredi riski, piyasa riski, bilanço dışı kalemlerden kaynaklanan risk, döviz kuru riski, ülke ve devlet riski, teknoloji ve faaliyet riski, likidite riski, iflas riski</w:t>
                        </w:r>
                        <w:r w:rsidR="00936C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, </w:t>
                        </w:r>
                        <w:proofErr w:type="spellStart"/>
                        <w:r w:rsidR="00936C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hedging</w:t>
                        </w:r>
                        <w:proofErr w:type="spellEnd"/>
                        <w:r w:rsidR="00936C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(riskten korunma) yaklaşımı</w:t>
                        </w:r>
                      </w:p>
                    </w:tc>
                  </w:tr>
                  <w:tr w:rsidR="00C81C99" w:rsidRPr="00D54349" w:rsidTr="00D54349">
                    <w:trPr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</w:tr>
                  <w:tr w:rsidR="00C81C99" w:rsidRPr="00D54349" w:rsidTr="00D54349">
                    <w:trPr>
                      <w:trHeight w:val="236"/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0F5D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-12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7657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Faiz Oranı Riski</w:t>
                        </w:r>
                      </w:p>
                      <w:p w:rsidR="00C81C99" w:rsidRPr="00D54349" w:rsidRDefault="00C81C99" w:rsidP="007657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Yeniden fiyatlama modeli,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durasyon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, banka stres testleri</w:t>
                        </w:r>
                        <w:r w:rsidR="00E64A11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vb.</w:t>
                        </w:r>
                      </w:p>
                      <w:p w:rsidR="00C81C99" w:rsidRPr="00D54349" w:rsidRDefault="00C81C99" w:rsidP="007657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</w:tr>
                  <w:tr w:rsidR="00C81C99" w:rsidRPr="00D54349" w:rsidTr="00D54349">
                    <w:trPr>
                      <w:trHeight w:val="245"/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557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-13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7657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Kredi Riski Modelleri</w:t>
                        </w:r>
                      </w:p>
                      <w:p w:rsidR="00C81C99" w:rsidRPr="00D54349" w:rsidRDefault="00C81C99" w:rsidP="0021391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Kredi türleri, kredi riskinin modellenmesi, RAROC yaklaşımı,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Basel</w:t>
                        </w:r>
                        <w:proofErr w:type="spellEnd"/>
                        <w:r w:rsidR="00E64A11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1-2-3</w:t>
                        </w:r>
                        <w:r w:rsidR="00E64A11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ve IBS standartları</w:t>
                        </w:r>
                      </w:p>
                    </w:tc>
                  </w:tr>
                  <w:tr w:rsidR="00C81C99" w:rsidRPr="00D54349" w:rsidTr="00D54349">
                    <w:trPr>
                      <w:trHeight w:val="245"/>
                      <w:tblCellSpacing w:w="7" w:type="dxa"/>
                    </w:trPr>
                    <w:tc>
                      <w:tcPr>
                        <w:tcW w:w="864" w:type="pct"/>
                        <w:noWrap/>
                        <w:hideMark/>
                      </w:tcPr>
                      <w:p w:rsidR="00C81C99" w:rsidRPr="00D54349" w:rsidRDefault="00C81C99" w:rsidP="00557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Hafta -14</w:t>
                        </w:r>
                      </w:p>
                    </w:tc>
                    <w:tc>
                      <w:tcPr>
                        <w:tcW w:w="4115" w:type="pct"/>
                        <w:vAlign w:val="center"/>
                        <w:hideMark/>
                      </w:tcPr>
                      <w:p w:rsidR="00C81C99" w:rsidRPr="00D54349" w:rsidRDefault="00C81C99" w:rsidP="007657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Pazar Riskinin Değerlendirilmesi</w:t>
                        </w:r>
                      </w:p>
                      <w:p w:rsidR="00C81C99" w:rsidRPr="00D54349" w:rsidRDefault="00C81C99" w:rsidP="007657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RiskMetrics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VaR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Simulasyon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ile Pazar riskinin modellenmesi.</w:t>
                        </w:r>
                      </w:p>
                      <w:p w:rsidR="00E64A11" w:rsidRPr="00D54349" w:rsidRDefault="00E64A11" w:rsidP="007657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</w:tr>
                </w:tbl>
                <w:p w:rsidR="00C81C99" w:rsidRPr="00D54349" w:rsidRDefault="00C81C99" w:rsidP="000E3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C81C99" w:rsidRPr="00D54349" w:rsidRDefault="00C81C99" w:rsidP="00A71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4A0B97" w:rsidRPr="00D54349" w:rsidTr="00D54349">
              <w:trPr>
                <w:trHeight w:val="13"/>
                <w:tblCellSpacing w:w="7" w:type="dxa"/>
              </w:trPr>
              <w:tc>
                <w:tcPr>
                  <w:tcW w:w="10419" w:type="dxa"/>
                  <w:vAlign w:val="center"/>
                  <w:hideMark/>
                </w:tcPr>
                <w:tbl>
                  <w:tblPr>
                    <w:tblpPr w:leftFromText="180" w:rightFromText="180" w:vertAnchor="text" w:horzAnchor="margin" w:tblpY="-320"/>
                    <w:tblOverlap w:val="never"/>
                    <w:tblW w:w="11700" w:type="dxa"/>
                    <w:tblCellSpacing w:w="7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0124"/>
                    <w:gridCol w:w="154"/>
                    <w:gridCol w:w="1305"/>
                    <w:gridCol w:w="117"/>
                  </w:tblGrid>
                  <w:tr w:rsidR="00E64A11" w:rsidRPr="00D54349" w:rsidTr="00D54349">
                    <w:trPr>
                      <w:gridAfter w:val="2"/>
                      <w:wAfter w:w="1402" w:type="dxa"/>
                      <w:tblCellSpacing w:w="7" w:type="dxa"/>
                    </w:trPr>
                    <w:tc>
                      <w:tcPr>
                        <w:tcW w:w="10109" w:type="dxa"/>
                        <w:shd w:val="clear" w:color="auto" w:fill="F1F1F1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lastRenderedPageBreak/>
                          <w:t>Dersin İşleniş Şekli ve Değerlendirme:</w:t>
                        </w:r>
                      </w:p>
                    </w:tc>
                    <w:tc>
                      <w:tcPr>
                        <w:tcW w:w="133" w:type="dxa"/>
                        <w:shd w:val="clear" w:color="auto" w:fill="F1F1F1"/>
                        <w:vAlign w:val="center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</w:tr>
                  <w:tr w:rsidR="00E64A11" w:rsidRPr="00D54349" w:rsidTr="00D54349">
                    <w:trPr>
                      <w:gridAfter w:val="3"/>
                      <w:wAfter w:w="1549" w:type="dxa"/>
                      <w:tblCellSpacing w:w="7" w:type="dxa"/>
                    </w:trPr>
                    <w:tc>
                      <w:tcPr>
                        <w:tcW w:w="10109" w:type="dxa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</w:tr>
                  <w:tr w:rsidR="00E64A11" w:rsidRPr="00D54349" w:rsidTr="00D54349">
                    <w:trPr>
                      <w:gridAfter w:val="2"/>
                      <w:wAfter w:w="1402" w:type="dxa"/>
                      <w:tblCellSpacing w:w="7" w:type="dxa"/>
                    </w:trPr>
                    <w:tc>
                      <w:tcPr>
                        <w:tcW w:w="10109" w:type="dxa"/>
                        <w:vAlign w:val="center"/>
                        <w:hideMark/>
                      </w:tcPr>
                      <w:p w:rsidR="00E64A11" w:rsidRDefault="00E64A11" w:rsidP="00AD266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Finansal kurumlar ve piyasaların işleyişi, 14 haftalık plana uygun olarak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ppt</w:t>
                        </w:r>
                        <w:proofErr w:type="spellEnd"/>
                        <w:r w:rsidR="005A1384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.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slaytlar, örnek olaylar, problem çözümleri ve ders notları ile birlikte anlatılacaktır. Öğrencilerin mutlaka derse </w:t>
                        </w:r>
                        <w:r w:rsidR="00A702DE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aktif olarak 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katılması ve </w:t>
                        </w:r>
                        <w:r w:rsidR="00A702DE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dikkatli bir şekilde dersi sorular sorarak 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takip etmesi gerekmektedir. </w:t>
                        </w:r>
                        <w:r w:rsidR="005A1384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Derse katılımın not değerlendirmesi içindeki ağırlığı %10’dur. 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Ders kapsamında öğrenilen bilgileri test etmek üzere bir final sınavı yapılmaktadır</w:t>
                        </w:r>
                        <w:r w:rsidR="005A1384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ve bu sınavın ağırlığı %50’dir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. Ayrıca öğrenciler haftalık plan içerisinden kendileri seçecekleri bir konudan </w:t>
                        </w:r>
                        <w:r w:rsidR="0071322F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Mayıs ayı içinde belirleyeceğimiz saatlerde 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sunum, makale veya örnek hazırlamakla yükümlüdürler. </w:t>
                        </w:r>
                        <w:r w:rsidR="0071322F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S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unum ve sunum ra</w:t>
                        </w:r>
                        <w:r w:rsidR="0071322F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porlarının ortalama ağırlığı %40’tır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.</w:t>
                        </w:r>
                        <w:r w:rsidR="00432C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Sunum raporları, 12 </w:t>
                        </w:r>
                        <w:proofErr w:type="spellStart"/>
                        <w:r w:rsidR="00432C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pt</w:t>
                        </w:r>
                        <w:proofErr w:type="spellEnd"/>
                        <w:r w:rsidR="00432C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. 1,5 satır aralığı ile kapak ve kaynakça ile birlikte 15 sayfayı geçemeyecek şekilde hazırlanmalıdır ve sınavda hazırlanan raporlardan </w:t>
                        </w:r>
                        <w:r w:rsidR="00A523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da </w:t>
                        </w:r>
                        <w:r w:rsidR="00432C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sorular sorulmaktadır. Sunum sırasında giyilen kıyafetin düzgün ve temiz olmasının yanında, konuşma ve diksiyona özen gösterilmesi </w:t>
                        </w:r>
                        <w:r w:rsidR="002E7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ve olayların akademik bakış açısıyla sunulması </w:t>
                        </w:r>
                        <w:r w:rsidR="00432C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gerekmektedir. </w:t>
                        </w:r>
                        <w:r w:rsidR="0071322F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Ders içeriği </w:t>
                        </w:r>
                        <w:r w:rsidR="00AD26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finansal piyasalarda çalışan</w:t>
                        </w:r>
                        <w:r w:rsidR="0071322F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uzman kişilerin verecekleri kısa seminerle zenginleştirilecektir.</w:t>
                        </w:r>
                      </w:p>
                      <w:p w:rsidR="0021391A" w:rsidRPr="00D54349" w:rsidRDefault="0021391A" w:rsidP="00AD266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  <w:tc>
                      <w:tcPr>
                        <w:tcW w:w="133" w:type="dxa"/>
                        <w:vAlign w:val="center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</w:tr>
                  <w:tr w:rsidR="00E64A11" w:rsidRPr="00D54349" w:rsidTr="00D54349">
                    <w:trPr>
                      <w:gridAfter w:val="2"/>
                      <w:wAfter w:w="1402" w:type="dxa"/>
                      <w:tblCellSpacing w:w="7" w:type="dxa"/>
                    </w:trPr>
                    <w:tc>
                      <w:tcPr>
                        <w:tcW w:w="10109" w:type="dxa"/>
                        <w:shd w:val="clear" w:color="auto" w:fill="F1F1F1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lastRenderedPageBreak/>
                          <w:t>Önkoşul:</w:t>
                        </w:r>
                      </w:p>
                    </w:tc>
                    <w:tc>
                      <w:tcPr>
                        <w:tcW w:w="133" w:type="dxa"/>
                        <w:shd w:val="clear" w:color="auto" w:fill="F1F1F1"/>
                        <w:vAlign w:val="center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</w:tr>
                  <w:tr w:rsidR="00E64A11" w:rsidRPr="00D54349" w:rsidTr="00D54349">
                    <w:trPr>
                      <w:gridAfter w:val="2"/>
                      <w:wAfter w:w="1402" w:type="dxa"/>
                      <w:tblCellSpacing w:w="7" w:type="dxa"/>
                    </w:trPr>
                    <w:tc>
                      <w:tcPr>
                        <w:tcW w:w="10109" w:type="dxa"/>
                        <w:vAlign w:val="center"/>
                        <w:hideMark/>
                      </w:tcPr>
                      <w:p w:rsidR="00E64A11" w:rsidRPr="00D54349" w:rsidRDefault="00E64A11" w:rsidP="00440EB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MAN 620 Finansal Yönetim dersi daha önceden öğrenci tarafından alınmış olmalıdır</w:t>
                        </w:r>
                        <w:r w:rsidR="0071322F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. Ö</w:t>
                        </w:r>
                        <w:r w:rsidR="00440EB5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ğrencilerin finansal piyasalar konusundaki güncel gelişmeleri </w:t>
                        </w:r>
                        <w:r w:rsidR="00C438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ilgi duyarak </w:t>
                        </w:r>
                        <w:r w:rsidR="00440EB5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takip etmesi ve </w:t>
                        </w:r>
                        <w:r w:rsidR="0071322F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yabancı basını takip edecek düzeyde yeterli İngilizce düzeyine sahip olması gerekmektedir</w:t>
                        </w: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.</w:t>
                        </w:r>
                        <w:r w:rsidR="00440EB5"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Ayrıca temel sayısal ve istatistiksel derslerin başarı ile tamamlanmış olması koşulu aranmaktadır.</w:t>
                        </w:r>
                      </w:p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  <w:tc>
                      <w:tcPr>
                        <w:tcW w:w="133" w:type="dxa"/>
                        <w:vAlign w:val="center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</w:tr>
                  <w:tr w:rsidR="00E64A11" w:rsidRPr="00D54349" w:rsidTr="00D54349">
                    <w:trPr>
                      <w:gridAfter w:val="2"/>
                      <w:wAfter w:w="1402" w:type="dxa"/>
                      <w:tblCellSpacing w:w="7" w:type="dxa"/>
                    </w:trPr>
                    <w:tc>
                      <w:tcPr>
                        <w:tcW w:w="10109" w:type="dxa"/>
                        <w:shd w:val="clear" w:color="auto" w:fill="F1F1F1"/>
                        <w:vAlign w:val="center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Önerilen Kitaplar:</w:t>
                        </w:r>
                      </w:p>
                    </w:tc>
                    <w:tc>
                      <w:tcPr>
                        <w:tcW w:w="133" w:type="dxa"/>
                        <w:shd w:val="clear" w:color="auto" w:fill="F1F1F1"/>
                        <w:vAlign w:val="center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</w:tr>
                  <w:tr w:rsidR="00E64A11" w:rsidRPr="00D54349" w:rsidTr="00D54349">
                    <w:trPr>
                      <w:gridAfter w:val="2"/>
                      <w:wAfter w:w="1402" w:type="dxa"/>
                      <w:tblCellSpacing w:w="7" w:type="dxa"/>
                    </w:trPr>
                    <w:tc>
                      <w:tcPr>
                        <w:tcW w:w="10109" w:type="dxa"/>
                        <w:vAlign w:val="center"/>
                        <w:hideMark/>
                      </w:tcPr>
                      <w:p w:rsidR="00E64A11" w:rsidRPr="00D54349" w:rsidRDefault="00E64A11" w:rsidP="00937525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Foundations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of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Financial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Markets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and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Institutions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of 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Fabozzi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Modigliani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and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Jones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Fourth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Edition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(Kitabın slaytları kullanılacaktır.)</w:t>
                        </w:r>
                      </w:p>
                      <w:p w:rsidR="00E64A11" w:rsidRPr="00D54349" w:rsidRDefault="00E64A11" w:rsidP="00937525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Financial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Markets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and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Institutions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of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Saunders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and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Cornett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Fourth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Edition</w:t>
                        </w:r>
                        <w:proofErr w:type="spellEnd"/>
                      </w:p>
                      <w:p w:rsidR="00E64A11" w:rsidRPr="00D54349" w:rsidRDefault="00E64A11" w:rsidP="00937525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Financial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Institutions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Management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: A Risk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Management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Approach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of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Saıunders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and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Cornett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,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Sixth</w:t>
                        </w:r>
                        <w:proofErr w:type="spellEnd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Edition</w:t>
                        </w:r>
                        <w:proofErr w:type="spellEnd"/>
                      </w:p>
                      <w:p w:rsidR="00E64A11" w:rsidRPr="00D54349" w:rsidRDefault="00E64A11" w:rsidP="00937525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Finansal Pazarlar, Hatice Doğukanlı ve Serpil </w:t>
                        </w:r>
                        <w:proofErr w:type="spellStart"/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Canbaş</w:t>
                        </w:r>
                        <w:proofErr w:type="spellEnd"/>
                      </w:p>
                    </w:tc>
                    <w:tc>
                      <w:tcPr>
                        <w:tcW w:w="133" w:type="dxa"/>
                        <w:vAlign w:val="center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</w:p>
                    </w:tc>
                  </w:tr>
                  <w:tr w:rsidR="00E64A11" w:rsidRPr="00D54349" w:rsidTr="00D54349">
                    <w:tblPrEx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1562" w:type="dxa"/>
                        <w:gridSpan w:val="3"/>
                        <w:vAlign w:val="bottom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 </w:t>
                        </w:r>
                      </w:p>
                    </w:tc>
                    <w:tc>
                      <w:tcPr>
                        <w:tcW w:w="96" w:type="dxa"/>
                        <w:vAlign w:val="bottom"/>
                        <w:hideMark/>
                      </w:tcPr>
                      <w:p w:rsidR="00E64A11" w:rsidRPr="00D54349" w:rsidRDefault="00E64A11" w:rsidP="00937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81"/>
                    <w:tblW w:w="0" w:type="auto"/>
                    <w:tblCellSpacing w:w="7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540"/>
                  </w:tblGrid>
                  <w:tr w:rsidR="0001203C" w:rsidRPr="00D54349" w:rsidTr="00312AA1">
                    <w:trPr>
                      <w:trHeight w:val="21"/>
                      <w:tblCellSpacing w:w="7" w:type="dxa"/>
                    </w:trPr>
                    <w:tc>
                      <w:tcPr>
                        <w:tcW w:w="9512" w:type="dxa"/>
                        <w:shd w:val="clear" w:color="auto" w:fill="F1F1F1"/>
                        <w:vAlign w:val="center"/>
                        <w:hideMark/>
                      </w:tcPr>
                      <w:p w:rsidR="0001203C" w:rsidRPr="00D54349" w:rsidRDefault="0001203C" w:rsidP="002D2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00000"/>
                            <w:sz w:val="24"/>
                            <w:szCs w:val="24"/>
                            <w:lang w:val="tr-TR"/>
                          </w:rPr>
                          <w:t>Öğrenim Çıktıları:</w:t>
                        </w:r>
                      </w:p>
                    </w:tc>
                  </w:tr>
                  <w:tr w:rsidR="0001203C" w:rsidRPr="00D54349" w:rsidTr="00312AA1">
                    <w:trPr>
                      <w:tblCellSpacing w:w="7" w:type="dxa"/>
                    </w:trPr>
                    <w:tc>
                      <w:tcPr>
                        <w:tcW w:w="9512" w:type="dxa"/>
                        <w:vAlign w:val="center"/>
                        <w:hideMark/>
                      </w:tcPr>
                      <w:p w:rsidR="0001203C" w:rsidRPr="00D54349" w:rsidRDefault="0001203C" w:rsidP="002D2FA6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 w:rsidRPr="00D5434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tr-TR"/>
                          </w:rPr>
                          <w:t xml:space="preserve">Bu ders bitiminde öğrenci, </w:t>
                        </w:r>
                        <w:r w:rsidR="00312AA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tr-TR"/>
                          </w:rPr>
                          <w:t>f</w:t>
                        </w:r>
                        <w:r w:rsidRPr="00D5434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tr-TR"/>
                          </w:rPr>
                          <w:t xml:space="preserve">inansal kurumları ve araçları öğrenecek ve Türkiye’deki uygulamaları </w:t>
                        </w:r>
                        <w:r w:rsidR="00312AA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tr-TR"/>
                          </w:rPr>
                          <w:t xml:space="preserve">ayrıntılı olarak </w:t>
                        </w:r>
                        <w:r w:rsidRPr="00D5434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tr-TR"/>
                          </w:rPr>
                          <w:t xml:space="preserve">anlama yeteneğine sahip olacaktır. </w:t>
                        </w:r>
                      </w:p>
                      <w:p w:rsidR="00C4383B" w:rsidRDefault="00C4383B" w:rsidP="00C4383B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Piyasa dinamiklerini algılayabilecek ve bilimsel olarak yorumlayabilecek düzeye gelecektir.</w:t>
                        </w:r>
                      </w:p>
                      <w:p w:rsidR="0001203C" w:rsidRDefault="00C4383B" w:rsidP="00312AA1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r w:rsidR="00312A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Ekonomik bir perspektiften finansal piyasaları analiz edebilme gücü kazanacaktır.</w:t>
                        </w:r>
                      </w:p>
                      <w:p w:rsidR="00312AA1" w:rsidRPr="00D54349" w:rsidRDefault="00312AA1" w:rsidP="00312AA1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/>
                          </w:rPr>
                          <w:t>Piyasa riskleri karşısında nasıl hareket edebileceğini öngörme yeteneği kazanacaktır.</w:t>
                        </w:r>
                      </w:p>
                    </w:tc>
                  </w:tr>
                </w:tbl>
                <w:p w:rsidR="004A0B97" w:rsidRPr="00D54349" w:rsidRDefault="004A0B97" w:rsidP="00A71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4A0B97" w:rsidRPr="00D54349" w:rsidRDefault="004A0B97" w:rsidP="00A71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E64A11" w:rsidRPr="00D54349" w:rsidTr="00D54349">
              <w:trPr>
                <w:tblCellSpacing w:w="7" w:type="dxa"/>
              </w:trPr>
              <w:tc>
                <w:tcPr>
                  <w:tcW w:w="10419" w:type="dxa"/>
                  <w:vAlign w:val="center"/>
                  <w:hideMark/>
                </w:tcPr>
                <w:p w:rsidR="00E64A11" w:rsidRPr="00D54349" w:rsidRDefault="00E64A11" w:rsidP="0097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E64A11" w:rsidRPr="00D54349" w:rsidRDefault="00E64A11" w:rsidP="00A71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E64A11" w:rsidRPr="00D54349" w:rsidTr="00D54349">
              <w:trPr>
                <w:trHeight w:val="13"/>
                <w:tblCellSpacing w:w="7" w:type="dxa"/>
              </w:trPr>
              <w:tc>
                <w:tcPr>
                  <w:tcW w:w="10419" w:type="dxa"/>
                  <w:vAlign w:val="center"/>
                  <w:hideMark/>
                </w:tcPr>
                <w:p w:rsidR="00E64A11" w:rsidRPr="00D54349" w:rsidRDefault="00E64A11" w:rsidP="00A71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E64A11" w:rsidRPr="00D54349" w:rsidRDefault="00E64A11" w:rsidP="00A71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:rsidR="00A71AA1" w:rsidRPr="00D54349" w:rsidRDefault="00A71AA1" w:rsidP="00D54349">
            <w:pPr>
              <w:spacing w:after="0" w:line="240" w:lineRule="auto"/>
              <w:ind w:right="1098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:rsidR="00A71AA1" w:rsidRPr="00D54349" w:rsidRDefault="00A71AA1" w:rsidP="00A71A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tr-TR"/>
              </w:rPr>
            </w:pPr>
          </w:p>
          <w:p w:rsidR="00A71AA1" w:rsidRPr="00D54349" w:rsidRDefault="00A71AA1" w:rsidP="00A7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730347" w:rsidRPr="00D54349" w:rsidRDefault="00730347" w:rsidP="007303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B2E3B" w:rsidRPr="00D54349" w:rsidRDefault="004B2E3B" w:rsidP="007303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4B2E3B" w:rsidRPr="00D54349" w:rsidSect="004B2E3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D63"/>
    <w:multiLevelType w:val="hybridMultilevel"/>
    <w:tmpl w:val="86283062"/>
    <w:lvl w:ilvl="0" w:tplc="A33248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0A5D"/>
    <w:multiLevelType w:val="hybridMultilevel"/>
    <w:tmpl w:val="F040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0391"/>
    <w:multiLevelType w:val="hybridMultilevel"/>
    <w:tmpl w:val="BA4C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0118C"/>
    <w:multiLevelType w:val="hybridMultilevel"/>
    <w:tmpl w:val="86283062"/>
    <w:lvl w:ilvl="0" w:tplc="A33248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69F"/>
    <w:multiLevelType w:val="hybridMultilevel"/>
    <w:tmpl w:val="86283062"/>
    <w:lvl w:ilvl="0" w:tplc="A332480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71AA1"/>
    <w:rsid w:val="0001203C"/>
    <w:rsid w:val="00031A9F"/>
    <w:rsid w:val="00076752"/>
    <w:rsid w:val="000819C9"/>
    <w:rsid w:val="000B7657"/>
    <w:rsid w:val="000E3AA2"/>
    <w:rsid w:val="000F5DF3"/>
    <w:rsid w:val="00132F20"/>
    <w:rsid w:val="00164E18"/>
    <w:rsid w:val="00187DBE"/>
    <w:rsid w:val="001A2C83"/>
    <w:rsid w:val="00202A8A"/>
    <w:rsid w:val="0021391A"/>
    <w:rsid w:val="002566CB"/>
    <w:rsid w:val="00262C40"/>
    <w:rsid w:val="00285359"/>
    <w:rsid w:val="002B3E4B"/>
    <w:rsid w:val="002B6861"/>
    <w:rsid w:val="002C6A40"/>
    <w:rsid w:val="002D1AE8"/>
    <w:rsid w:val="002E0364"/>
    <w:rsid w:val="002E75FF"/>
    <w:rsid w:val="002F4C6B"/>
    <w:rsid w:val="00312AA1"/>
    <w:rsid w:val="003525D5"/>
    <w:rsid w:val="003773AB"/>
    <w:rsid w:val="003805FA"/>
    <w:rsid w:val="00396A1B"/>
    <w:rsid w:val="003D3F4C"/>
    <w:rsid w:val="00400889"/>
    <w:rsid w:val="00402EF9"/>
    <w:rsid w:val="00407594"/>
    <w:rsid w:val="00432B5B"/>
    <w:rsid w:val="00432CDC"/>
    <w:rsid w:val="00440702"/>
    <w:rsid w:val="00440EB5"/>
    <w:rsid w:val="004413FA"/>
    <w:rsid w:val="004415AE"/>
    <w:rsid w:val="00472B20"/>
    <w:rsid w:val="00475394"/>
    <w:rsid w:val="00475DD6"/>
    <w:rsid w:val="004A0B97"/>
    <w:rsid w:val="004B2E3B"/>
    <w:rsid w:val="004B6965"/>
    <w:rsid w:val="004C53CF"/>
    <w:rsid w:val="004D2DE0"/>
    <w:rsid w:val="004E1314"/>
    <w:rsid w:val="00514E96"/>
    <w:rsid w:val="0051610A"/>
    <w:rsid w:val="00557B8F"/>
    <w:rsid w:val="00590301"/>
    <w:rsid w:val="005A1384"/>
    <w:rsid w:val="005B19F7"/>
    <w:rsid w:val="005B2945"/>
    <w:rsid w:val="005E1BB5"/>
    <w:rsid w:val="005F3544"/>
    <w:rsid w:val="005F6984"/>
    <w:rsid w:val="0064681B"/>
    <w:rsid w:val="006551BE"/>
    <w:rsid w:val="006A147C"/>
    <w:rsid w:val="006B2553"/>
    <w:rsid w:val="006D113D"/>
    <w:rsid w:val="006F1E3F"/>
    <w:rsid w:val="006F4721"/>
    <w:rsid w:val="006F7CD8"/>
    <w:rsid w:val="0071322F"/>
    <w:rsid w:val="0071387D"/>
    <w:rsid w:val="00726626"/>
    <w:rsid w:val="00730347"/>
    <w:rsid w:val="007657E5"/>
    <w:rsid w:val="00783346"/>
    <w:rsid w:val="0079043E"/>
    <w:rsid w:val="007A774C"/>
    <w:rsid w:val="007B194C"/>
    <w:rsid w:val="007C364E"/>
    <w:rsid w:val="007C741F"/>
    <w:rsid w:val="00816228"/>
    <w:rsid w:val="00816631"/>
    <w:rsid w:val="00834C2E"/>
    <w:rsid w:val="008652AE"/>
    <w:rsid w:val="00895AAE"/>
    <w:rsid w:val="008A4043"/>
    <w:rsid w:val="008C0A78"/>
    <w:rsid w:val="008C48B7"/>
    <w:rsid w:val="008D6246"/>
    <w:rsid w:val="00925E42"/>
    <w:rsid w:val="00936C27"/>
    <w:rsid w:val="009622B8"/>
    <w:rsid w:val="00971FF0"/>
    <w:rsid w:val="00974AA9"/>
    <w:rsid w:val="009B3B4C"/>
    <w:rsid w:val="009B4F00"/>
    <w:rsid w:val="009B701E"/>
    <w:rsid w:val="00A14E11"/>
    <w:rsid w:val="00A23B4E"/>
    <w:rsid w:val="00A335B1"/>
    <w:rsid w:val="00A4456E"/>
    <w:rsid w:val="00A5239E"/>
    <w:rsid w:val="00A702DE"/>
    <w:rsid w:val="00A71AA1"/>
    <w:rsid w:val="00A72FDE"/>
    <w:rsid w:val="00A83EB7"/>
    <w:rsid w:val="00A87A2E"/>
    <w:rsid w:val="00AB3A4C"/>
    <w:rsid w:val="00AB6B94"/>
    <w:rsid w:val="00AD266B"/>
    <w:rsid w:val="00AD5047"/>
    <w:rsid w:val="00B1572A"/>
    <w:rsid w:val="00B24481"/>
    <w:rsid w:val="00B24F1B"/>
    <w:rsid w:val="00B3621F"/>
    <w:rsid w:val="00B64D2B"/>
    <w:rsid w:val="00BA085A"/>
    <w:rsid w:val="00BA2530"/>
    <w:rsid w:val="00BD49D1"/>
    <w:rsid w:val="00BF7890"/>
    <w:rsid w:val="00C4383B"/>
    <w:rsid w:val="00C51B3D"/>
    <w:rsid w:val="00C60378"/>
    <w:rsid w:val="00C65F2C"/>
    <w:rsid w:val="00C711C8"/>
    <w:rsid w:val="00C72C9D"/>
    <w:rsid w:val="00C77081"/>
    <w:rsid w:val="00C81C99"/>
    <w:rsid w:val="00CD2433"/>
    <w:rsid w:val="00CE74D0"/>
    <w:rsid w:val="00CF0D5A"/>
    <w:rsid w:val="00D30640"/>
    <w:rsid w:val="00D54349"/>
    <w:rsid w:val="00D60D30"/>
    <w:rsid w:val="00D712BA"/>
    <w:rsid w:val="00D97018"/>
    <w:rsid w:val="00DB6DCA"/>
    <w:rsid w:val="00DC7D7F"/>
    <w:rsid w:val="00E64A11"/>
    <w:rsid w:val="00E873C9"/>
    <w:rsid w:val="00F97CEF"/>
    <w:rsid w:val="00FB05F0"/>
    <w:rsid w:val="00FF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31A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F6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knur@hacettepe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9B73-C88B-4553-AE92-4ED162BF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Goknur</cp:lastModifiedBy>
  <cp:revision>2</cp:revision>
  <cp:lastPrinted>2011-02-23T14:00:00Z</cp:lastPrinted>
  <dcterms:created xsi:type="dcterms:W3CDTF">2011-11-09T12:29:00Z</dcterms:created>
  <dcterms:modified xsi:type="dcterms:W3CDTF">2011-11-09T12:29:00Z</dcterms:modified>
</cp:coreProperties>
</file>